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[наименование суда]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 (лицо, участвующее в деле):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Ходатайство о восстановлении пропущенного процессуального срока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Арбитражный суд [наименование] принял решение по делу № [номер]. Решение изготовлено в полном объёме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подачи апелляционной жалобы — месяц после принятия решения (ч. 1 ст. 259 АПК РФ) — истёк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пропущен по причинам, не зависящим от заявителя: [например: решение размещено в сети «Интернет» [дата] с нарушением срока; копия решения получена [дата]]. Подтверждающие документы прилагаются.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Ходатайство подано не позднее шести месяцев со дня принятия решения (ч. 2 ст. 259 АПК РФ). Одновременно с ходатайством подаётся апелляционная жалоба (ч. 3 ст. 117 АПК РФ).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основании изложенного, руководствуясь ст. 117 и 259 АПК РФ,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пропущенный срок подачи апелляционной жалобы на решение Арбитражного суда [наименование] от [дата] по делу № [номер].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Апелляционная жалоба.</w:t>
      </w:r>
      <w:r>
        <w:br/>
      </w:r>
      <w:r>
        <w:rPr>
          <w:rFonts w:ascii="Times New Roman" w:hAnsi="Times New Roman" w:cs="Times New Roman"/>
          <w:sz w:val="28"/>
        </w:rPr>
        <w:t xml:space="preserve">2. Документы, подтверждающие причины пропуска срока: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Документ об уплате государственной пошлины.</w:t>
      </w:r>
      <w:r>
        <w:br/>
      </w:r>
      <w:r>
        <w:rPr>
          <w:rFonts w:ascii="Times New Roman" w:hAnsi="Times New Roman" w:cs="Times New Roman"/>
          <w:sz w:val="28"/>
        </w:rPr>
        <w:t xml:space="preserve">4. Документы о направлении копий жалобы другим лицам, участвующим в деле.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sectPr>
      <w:pgSz w:w="11906" w:h="16838"/>
      <w:pgMar w:top="1134" w:right="850" w:bottom="1134" w:left="1701" w:header="708" w:footer="708" w:gutter="0"/>
    </w:sectPr>
  </w:body>
</w:document>
</file>